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lang w:eastAsia="zh-CN"/>
        </w:rPr>
      </w:pPr>
      <w:bookmarkStart w:id="0" w:name="_GoBack"/>
      <w: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rPr>
        <w:t>科学技术活动违规行为处理暂行规定</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科学技术部令第19号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《科学技术活动违规行为处理暂行规定》已经2020年6月18日科学技术部第10次部务会审议通过，现予公布，自2020年9月1日起施行。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jc w:val="right"/>
        <w:rPr>
          <w:rFonts w:hint="eastAsia" w:ascii="方正仿宋_GBK" w:hAnsi="方正仿宋_GBK" w:eastAsia="方正仿宋_GBK" w:cs="方正仿宋_GBK"/>
          <w:i w:val="0"/>
          <w:iCs w:val="0"/>
          <w:caps w:val="0"/>
          <w:color w:val="333333"/>
          <w:spacing w:val="0"/>
          <w:sz w:val="32"/>
          <w:szCs w:val="32"/>
          <w:bdr w:val="none" w:color="auto" w:sz="0" w:space="0"/>
          <w:shd w:val="clear" w:fill="FFFFFF"/>
          <w:lang w:eastAsia="zh-CN"/>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部长 王志刚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jc w:val="righ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二○二○年七月十七日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科学技术活动违规行为处理暂行规定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第一条 为规范科学技术活动违规行为处理，营造风清气正的良好科研氛围，根据《中华人民共和国科学技术进步法》等法律法规，制定本规定。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第二条 对下列单位和人员在开展有关科学技术活动过程中出现的违规行为的处理，适用本规定。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（一）受托管理机构及其工作人员，即受科学技术行政部门委托开展相关科学技术活动管理工作的机构及其工作人员；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（二）科学技术活动实施单位，即具体开展科学技术活动的科学技术研究开发机构、高等学校、企业及其他组织；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（三）科学技术人员，即直接从事科学技术活动的人员和为科学技术活动提供管理、服务的人员；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（四）科学技术活动咨询评审专家，即为科学技术活动提供咨询、评审、评估、评价等意见的专业人员；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（五）第三方科学技术服务机构及其工作人员，即为科学技术活动提供审计、咨询、绩效评估评价、经纪、知识产权代理、检验检测、出版等服务的第三方机构及其工作人员。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第三条 科学技术部加强对科学技术活动违规行为处理工作的统筹、协调和督促指导。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各级科学技术行政部门根据职责和权限对科学技术活动实施中发生的违规行为进行处理。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第四条 科学技术活动违规行为的处理，应区分主观过错、性质、情节和危害程度，做到程序正当、事实清楚、证据确凿、依据准确、处理恰当。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第二章  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第五条 受托管理机构的违规行为包括以下情形：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（一）采取弄虚作假等不正当手段获得管理资格；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（二）内部管理混乱，影响受托管理工作正常开展；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（三）重大事项未及时报告；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（四）存在管理过失，造成负面影响或财政资金损失；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（五）设租寻租、徇私舞弊、滥用职权、私分受托管理的科研资金；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（六）隐瞒、包庇科学技术活动中相关单位或人员的违法违规行为；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（七）不配合监督检查或评估评价工作，不整改、虚假整改或整改未达到要求；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（八）违反任务委托协议等合同约定的主要义务；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（九）违反国家科学技术活动保密相关规定；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（十）法律、行政法规、部门规章或规范性文件规定的其他相关违规行为。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第六条 受托管理机构工作人员的违规行为包括以下情形：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（一）管理失职，造成负面影响或财政资金损失；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（二）设租寻租、徇私舞弊等利用组织科学技术活动之便谋取不正当利益；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（三）承担或参加所管理的科技计划（专项、基金等）项目；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（四）参与所管理的科学技术活动中有关论文、著作、专利等科学技术成果的署名及相关科技奖励、人才评选等；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（五）未经批准在相关科学技术活动实施单位兼职；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（六）干预咨询评审或向咨询评审专家施加倾向性影响；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（七）泄露科学技术活动管理过程中需保密的专家名单、专家意见、评审结论和立项安排等相关信息；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（八）违反回避制度要求，隐瞒利益冲突；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（九）虚报、冒领、挪用、套取所管理的科研资金；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（十）违反国家科学技术活动保密相关规定；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（十一）法律、行政法规、部门规章或规范性文件规定的其他相关违规行为。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第七条 科学技术活动实施单位的违规行为包括以下情形：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（一）在科学技术活动的申报、评审、实施、验收、监督检查和评估评价等活动中提供虚假材料，组织“打招呼”“走关系”等请托行为；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（二）管理失职，造成负面影响或财政资金损失；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（三）无正当理由不履行科学技术活动管理合同约定的主要义务；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（四）隐瞒、迁就、包庇、纵容或参与本单位人员的违法违规活动；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（五）未经批准，违规转包、分包科研任务；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（六）截留、挤占、挪用、套取、转移、私分财政科研资金；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（七）不配合监督检查或评估评价工作，不整改、虚假整改或整改未达到要求；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（八）不按规定上缴应收回的财政科研结余资金；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（九）未按规定进行科技伦理审查并监督执行；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（十）开展危害国家安全、损害社会公共利益、危害人体健康的科学技术活动；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（十一）违反国家科学技术活动保密相关规定；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（十二）法律、行政法规、部门规章或规范性文件规定的其他相关违规行为。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第八条 科学技术人员的违规行为包括以下情形：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（一）在科学技术活动的申报、评审、实施、验收、监督检查和评估评价等活动中提供虚假材料，实施“打招呼”“走关系”等请托行为；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（二）故意夸大研究基础、学术价值或科技成果的技术价值、社会经济效益，隐瞒技术风险，造成负面影响或财政资金损失；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（三）人才计划入选者、重大科研项目负责人在聘期内或项目执行期内擅自变更工作单位，造成负面影响或财政资金损失；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（四）故意拖延或拒不履行科学技术活动管理合同约定的主要义务；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（五）随意降低目标任务和约定要求，以项目实施周期外或不相关成果充抵交差；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（六）抄袭、剽窃、侵占、篡改他人科学技术成果，编造科学技术成果，侵犯他人知识产权等；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（七）虚报、冒领、挪用、套取财政科研资金；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（八）不配合监督检查或评估评价工作，不整改、虚假整改或整改未达到要求；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（九）违反科技伦理规范；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（十）开展危害国家安全、损害社会公共利益、危害人体健康的科学技术活动；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（十一）违反国家科学技术活动保密相关规定；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（十二）法律、行政法规、部门规章或规范性文件规定的其他相关违规行为。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第九条 科学技术活动咨询评审专家的违规行为包括以下情形：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（一）采取弄虚作假等不正当手段获取咨询、评审、评估、评价、监督检查资格；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（二）违反回避制度要求；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（三）接受“打招呼”“走关系”等请托；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（四）引导、游说其他专家或工作人员，影响咨询、评审、评估、评价、监督检查过程和结果；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（五）索取、收受利益相关方财物或其他不正当利益；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（六）出具明显不当的咨询、评审、评估、评价、监督检查意见；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（七）泄漏咨询评审过程中需保密的申请人、专家名单、专家意见、评审结论等相关信息；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（八）抄袭、剽窃咨询评审对象的科学技术成果；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（九）违反国家科学技术活动保密相关规定；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（十）法律、行政法规、部门规章或规范性文件规定的其他相关违规行为。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第十条 第三方科学技术服务机构及其工作人员的违规行为包括以下情形：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（一）采取弄虚作假等不正当手段获取科学技术活动相关业务；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（二）从事学术论文买卖、代写代投以及伪造、虚构、篡改研究数据等；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（三）违反回避制度要求；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（四）擅自委托他方代替提供科学技术活动相关服务；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（五）出具虚假或失实结论；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（六）索取、收受利益相关方财物或其他不正当利益；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（七）泄漏需保密的相关信息或材料等；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（八）违反国家科学技术活动保密相关规定；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（九）法律、行政法规、部门规章或规范性文件规定的其他相关违规行为。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第三章  处理措施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第十一条 对科学技术活动违规行为，视违规主体和行为性质，可单独或合并采取以下处理措施：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（一）警告；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（二）责令限期整改；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（三）约谈；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（四）一定范围内或公开通报批评；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（五）终止、撤销有关财政性资金支持的科学技术活动；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（六）追回结余资金，追回已拨财政资金以及违规所得；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（七）撤销奖励或荣誉称号，追回奖金；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（八）取消一定期限内财政性资金支持的科学技术活动管理资格；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（九）禁止在一定期限内承担或参与财政性资金支持的科学技术活动；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（十）记入科研诚信严重失信行为数据库。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第十二条 违规行为涉嫌违反党纪政纪、违法犯罪的，移交有关机关处理。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第十三条 对于第三方科学技术服务机构及人员违规的，可视情况将相关问题及线索移交具有处罚或处理权限的主管部门或行业协会处理。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第十四条 受托管理机构、科学技术活动实施单位有组织地开展科学技术活动违规行为的，或存在重大管理过失的，按本规定第十一条第（八）项追究主要负责人、直接负责人的责任，具体期限与被处理单位的受限年限保持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第十五条 有证据表明违规行为已经造成恶劣影响或财政资金严重损失的，应直接或提请具有相应职责和权限的行政机关责令采取有效措施，防止影响或损失扩大，中止相关科学技术活动，暂停拨付相应财政资金，同时暂停接受相关责任主体申请新的财政性资金支持的科学技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第十六条 采取本规定第十一条第（九）项处理措施的，违规行为未涉及科学技术活动核心关键任务、约束性目标或指标，但造成较大负面影响或财政资金损失，对违规单位取消2年以内（含2年）相关资格，对违规个人取消3年以内（含3年）相关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上述违规行为涉及科学技术活动的核心关键任务、约束性目标或指标，并导致相关科学技术活动偏离约定目标，或造成严重负面影响或财政资金损失，对违规单位取消2至5年相关资格，对违规个人取消3至5年相关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上述违规行为涉及科学技术活动的核心关键任务、约束性目标或指标，并导致相关科学技术活动停滞、严重偏离约定目标，或造成特别严重负面影响或财政资金损失，对违规单位和个人取消5年以上直至永久相关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第十七条 有以下情形之一的，可以给予从轻处理：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（一）主动反映问题线索，并经查属实；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（二）主动承认错误并积极配合调查和整改；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（三）主动退回因违规行为所获各种利益；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（四）主动挽回损失浪费或有效阻止危害结果发生；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（五）通过全国性媒体公开作出严格遵守科学技术活动相关国家法律及管理规定、不再实施违规行为的承诺；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（六）其他可以给予从轻处理情形。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第十八条 有以下情形之一的，应当给予从重处理：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（一）伪造、销毁、藏匿证据；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（二）阻止他人提供证据，或干扰、妨碍调查核实；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（三）打击、报复举报人；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（四）有组织地实施违规行为；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（五）多次违规或同时存在多种违规行为；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（六）其他应当给予从重处理情形。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第十九条 科学技术活动违规行为涉及多个主体的，应甄别不同主体的责任，并视其违规行为在负面影响或财政资金损失发生过程和结果中所起作用等因素分别给予相应处理。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第四章  处理程序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第二十条 科学技术活动违规行为认定后，视事实、性质、情节，按照本规定第十一条的处理措施作出相应处理决定，并制作处理决定书。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第二十一条 作出处理决定前，应告知被处理单位或人员拟作出处理决定的事实、理由及依据，并告知其享有陈述与申辩的权利及其行使的方式和期限。被处理单位或人员逾期未提出陈述或申辩的，视为放弃陈述与申辩的权利；作出陈述或申辩的，应充分听取其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第二十二条 处理决定书应载明以下内容：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（一）被处理主体的基本情况；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（二）违规行为情况及事实根据；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（三）处理依据和处理决定；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（四）救济途径和期限；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（五）作出处理决定的单位名称和时间；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（六）法律、行政法规、部门规章或规范性文件规定的其他相关事项。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第二十三条 处理决定书应送达被处理单位或人员，抄送被处理人员所在单位或被处理单位的上级主管部门，并可视情通知被处理人员或单位所属相关行业协会。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处理决定书可采取直接送达、委托送达、邮寄送达等方式；被送达人下落不明的，可公告送达。涉及保密内容的，按照保密相关规定送达。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对于影响范围广、社会关注度高的违规行为的处理决定，除涉密内容外，应向社会公开，发挥警示教育作用。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第二十四条 被处理单位或人员对处理决定不服的，可自收到处理决定书之日起15个工作日内，按照处理决定书载明的救济途径向作出处理决定的相关部门或单位提出复查申请，写明理由并提供相关证据或线索。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处理主体应自收到复查申请后15个工作日内作出是否受理的决定。决定受理的，应当另行组织对处理决定所认定的事实和相关依据进行复查。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复查应制作复查决定书，复查原则上应自受理之日起90个工作日内完成并送达复查申请人。复查期间，不停止原处理决定的执行。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第二十五条 被处理单位或人员也可以不经复查，直接依法申请复议或提起诉讼。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第二十六条 采取本规定第十一条第（九）项处理措施的，取消资格期限自处理决定下达之日起计算，处理决定作出前已执行本规定第十五条采取暂停活动的，暂停活动期限可折抵处理期限。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第二十七条 科学技术活动违规行为涉及多个部门的，可组织开展联合调查，按职责和权限分别予以处理。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第二十八条 科学技术活动违规行为处理超出科学技术行政部门职责和权限范围内的，应将问题及线索移交相关部门、机构，并可以适当方式向相关部门、机构提出意见建议。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0"/>
        <w:jc w:val="center"/>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b/>
          <w:bCs/>
          <w:i w:val="0"/>
          <w:iCs w:val="0"/>
          <w:caps w:val="0"/>
          <w:color w:val="333333"/>
          <w:spacing w:val="0"/>
          <w:sz w:val="32"/>
          <w:szCs w:val="32"/>
          <w:bdr w:val="none" w:color="auto" w:sz="0" w:space="0"/>
          <w:shd w:val="clear" w:fill="FFFFFF"/>
        </w:rPr>
        <w:t>第五章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第二十九条 科学技术行政部门委托受托管理机构管理的科学技术活动中，项目承担单位和人员出现的情节轻微、未造成明显负面影响或财政资金损失的违规行为，由受托管理机构依据有关科学技术活动管理合同、管理办法等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第三十条 各级科学技术行政部门已在职责和权限范围内制定科学技术活动违规行为处理规定且处理尺度不低于本规定的，可按照已有规定进行处理。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第三十一条 科学技术活动违规行为处理属其他部门、机构职责和权限的，由有权处理的部门、机构依据法律、行政法规及其他有关规定处理。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科学技术活动违规行为涉事单位或人员属军队管理的，由军队按照其有关规定进行处理。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第三十二条 法律、行政法规对科学技术活动违规行为及相应处理另有规定的，从其规定。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科学技术部部门规章或规范性文件相关内容与本规定不一致的，适用本规定。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第三十三条 本规定自2020年9月1日起施行。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0" w:right="0" w:firstLine="420"/>
        <w:rPr>
          <w:rFonts w:hint="eastAsia" w:ascii="宋体" w:hAnsi="宋体" w:eastAsia="宋体" w:cs="宋体"/>
          <w:i w:val="0"/>
          <w:iCs w:val="0"/>
          <w:caps w:val="0"/>
          <w:color w:val="333333"/>
          <w:spacing w:val="0"/>
          <w:sz w:val="24"/>
          <w:szCs w:val="24"/>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第三十四条 本规定由科学技术部负责解释。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embedRegular r:id="rId1" w:fontKey="{1DB72AEE-D783-479F-BC4A-546F0D4C0E10}"/>
  </w:font>
  <w:font w:name="方正小标宋_GBK">
    <w:altName w:val="方正小标宋_GBK"/>
    <w:panose1 w:val="02000000000000000000"/>
    <w:charset w:val="86"/>
    <w:family w:val="auto"/>
    <w:pitch w:val="default"/>
    <w:sig w:usb0="00000001" w:usb1="080E0000" w:usb2="00000000" w:usb3="00000000" w:csb0="00040000" w:csb1="00000000"/>
    <w:embedRegular r:id="rId2" w:fontKey="{53BF2B71-96D4-4893-9648-BA2CFC8F9914}"/>
  </w:font>
  <w:font w:name="方正大黑体_GBK">
    <w:panose1 w:val="02010600010101010101"/>
    <w:charset w:val="86"/>
    <w:family w:val="auto"/>
    <w:pitch w:val="default"/>
    <w:sig w:usb0="00000001" w:usb1="080E0000" w:usb2="00000000" w:usb3="00000000" w:csb0="40040001" w:csb1="C0D60000"/>
  </w:font>
  <w:font w:name="华光平黑_CNKI">
    <w:panose1 w:val="02000500000000000000"/>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仿宋_GBK">
    <w:altName w:val="方正仿宋_GBK"/>
    <w:panose1 w:val="02000000000000000000"/>
    <w:charset w:val="86"/>
    <w:family w:val="auto"/>
    <w:pitch w:val="default"/>
    <w:sig w:usb0="00000001" w:usb1="080E0000" w:usb2="00000000" w:usb3="00000000" w:csb0="00040000" w:csb1="00000000"/>
    <w:embedRegular r:id="rId3" w:fontKey="{9A128140-25AF-4332-B647-2638AA9A9D1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hM2Q4OTExNTJhMGQ3YzkyNThkZDlhNzMxYjhhNDMifQ=="/>
  </w:docVars>
  <w:rsids>
    <w:rsidRoot w:val="00000000"/>
    <w:rsid w:val="10BF6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2023-09-04T05:00:53Z</dcterms:created>
  <dc:creator>Administrator</dc:creator>
  <cp:lastModifiedBy>诺曼底之恋</cp:lastModifiedBy>
  <dcterms:modified xsi:type="dcterms:W3CDTF">2023-09-04T05:04:35Z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5082C85F8E2B4CDCBD2F047F18AF1417_12</vt:lpwstr>
  </property>
</Properties>
</file>